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6D48C">
      <w:pPr>
        <w:pStyle w:val="5"/>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sz w:val="36"/>
          <w:szCs w:val="36"/>
        </w:rPr>
      </w:pPr>
      <w:r>
        <w:rPr>
          <w:rFonts w:hint="default"/>
          <w:sz w:val="36"/>
          <w:szCs w:val="36"/>
        </w:rPr>
        <w:t>关于报名参加2026年暑期澳大利亚悉尼大学</w:t>
      </w:r>
    </w:p>
    <w:p w14:paraId="15400642">
      <w:pPr>
        <w:pStyle w:val="5"/>
        <w:keepNext w:val="0"/>
        <w:keepLines w:val="0"/>
        <w:pageBreakBefore w:val="0"/>
        <w:widowControl w:val="0"/>
        <w:kinsoku/>
        <w:wordWrap/>
        <w:overflowPunct/>
        <w:topLinePunct w:val="0"/>
        <w:autoSpaceDE/>
        <w:autoSpaceDN/>
        <w:bidi w:val="0"/>
        <w:adjustRightInd/>
        <w:snapToGrid/>
        <w:spacing w:line="240" w:lineRule="atLeast"/>
        <w:jc w:val="center"/>
        <w:textAlignment w:val="auto"/>
        <w:rPr>
          <w:sz w:val="36"/>
          <w:szCs w:val="36"/>
        </w:rPr>
      </w:pPr>
      <w:r>
        <w:rPr>
          <w:rFonts w:hint="default"/>
          <w:sz w:val="36"/>
          <w:szCs w:val="36"/>
        </w:rPr>
        <w:t>力学前沿与科研</w:t>
      </w:r>
      <w:r>
        <w:rPr>
          <w:rFonts w:hint="eastAsia"/>
          <w:sz w:val="36"/>
          <w:szCs w:val="36"/>
          <w:lang w:val="en-US" w:eastAsia="zh-CN"/>
        </w:rPr>
        <w:t>训练</w:t>
      </w:r>
      <w:r>
        <w:rPr>
          <w:rFonts w:hint="default"/>
          <w:sz w:val="36"/>
          <w:szCs w:val="36"/>
        </w:rPr>
        <w:t>访学项目的通知</w:t>
      </w:r>
    </w:p>
    <w:p w14:paraId="1CCE87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为夯实力学理论，系统提升学生的科研能力与国际学术竞争力，现向我校学生推荐悉尼大学开设的力学主题访学项目。项目依托悉尼大学世界一流的教学与科研资源，结合力学核心理论课程、科研训练及学术成果展示环节，构建“理论学习–课堂训练–成果输出”的培养体系，助力学生对接国际力学领域的前沿发展。欢迎相关专业同学积极参与，开启在南半球顶尖学府的科研创新学习体验。</w:t>
      </w:r>
    </w:p>
    <w:p w14:paraId="5EE11883">
      <w:pPr>
        <w:keepNext w:val="0"/>
        <w:keepLines w:val="0"/>
        <w:pageBreakBefore w:val="0"/>
        <w:widowControl w:val="0"/>
        <w:kinsoku/>
        <w:wordWrap/>
        <w:overflowPunct/>
        <w:topLinePunct w:val="0"/>
        <w:autoSpaceDE/>
        <w:autoSpaceDN/>
        <w:bidi w:val="0"/>
        <w:adjustRightInd/>
        <w:snapToGrid/>
        <w:textAlignment w:val="auto"/>
        <w:rPr>
          <w:rFonts w:hint="default"/>
          <w:lang w:val="en-US" w:eastAsia="zh-CN"/>
        </w:rPr>
      </w:pPr>
    </w:p>
    <w:p w14:paraId="683D2893">
      <w:pPr>
        <w:rPr>
          <w:rFonts w:hint="eastAsia" w:ascii="仿宋" w:hAnsi="仿宋" w:eastAsia="仿宋" w:cs="仿宋"/>
          <w:b/>
          <w:bCs/>
          <w:sz w:val="28"/>
          <w:szCs w:val="36"/>
        </w:rPr>
      </w:pPr>
      <w:r>
        <w:rPr>
          <w:rFonts w:hint="eastAsia" w:ascii="仿宋" w:hAnsi="仿宋" w:eastAsia="仿宋" w:cs="仿宋"/>
          <w:b/>
          <w:bCs/>
          <w:sz w:val="28"/>
          <w:szCs w:val="36"/>
        </w:rPr>
        <w:t>一、学校简介</w:t>
      </w:r>
    </w:p>
    <w:p w14:paraId="61038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悉尼大学（The University of Sydney）始建于1850年，2026年QS世界大学排名位列全球第25位，工程与技术领域稳居全球前50，是澳大利亚历史最悠久的高等学府，为南半球首屈一指的学术殿堂、世界一流研究型大学。作为澳大利亚八校联盟、环太平洋大学联盟、全球管理教育联盟（CEMS）成员，悉尼大学以卓越的学科实力与学术声誉享誉全球，培养了包括8位澳大利亚总理、联合国大会主席、世界银行行长及多位诺贝尔奖得主在内的杰出人才，学术影响力与校友网络覆盖全球。</w:t>
      </w:r>
    </w:p>
    <w:p w14:paraId="14617B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kern w:val="2"/>
          <w:sz w:val="24"/>
          <w:szCs w:val="32"/>
          <w:lang w:val="en-US" w:eastAsia="zh-CN" w:bidi="ar-SA"/>
        </w:rPr>
      </w:pPr>
      <w:r>
        <w:rPr>
          <w:rFonts w:hint="eastAsia" w:ascii="仿宋" w:hAnsi="仿宋" w:eastAsia="仿宋" w:cs="仿宋"/>
          <w:kern w:val="2"/>
          <w:sz w:val="24"/>
          <w:szCs w:val="32"/>
          <w:lang w:val="en-US" w:eastAsia="zh-CN" w:bidi="ar-SA"/>
        </w:rPr>
        <w:t>悉尼是澳大利亚最大的城市与重要的国际门户，也是亚太地区最具影响力的科技、金融与创新中心之一。城市汇聚了大量科研机构、高科技企业与国际组织，为高校科研合作与成果转化提供了优越的外部生态。与此同时，悉尼以其安全宜居的城市环境、多元包容的文化氛围及高质量的公共服务体系著称，为国际学生开展高强度学习与科研活动提供了稳定而开放的学习与生活环境。</w:t>
      </w:r>
    </w:p>
    <w:p w14:paraId="697C3A19">
      <w:pPr>
        <w:pStyle w:val="2"/>
        <w:rPr>
          <w:rFonts w:hint="eastAsia"/>
          <w:lang w:val="en-US" w:eastAsia="zh-CN"/>
        </w:rPr>
      </w:pPr>
    </w:p>
    <w:p w14:paraId="5A950319">
      <w:pPr>
        <w:rPr>
          <w:rFonts w:hint="default" w:ascii="仿宋" w:hAnsi="仿宋" w:eastAsia="仿宋" w:cs="仿宋"/>
          <w:b/>
          <w:bCs/>
          <w:sz w:val="28"/>
          <w:szCs w:val="36"/>
        </w:rPr>
      </w:pPr>
      <w:r>
        <w:rPr>
          <w:rFonts w:hint="default" w:ascii="仿宋" w:hAnsi="仿宋" w:eastAsia="仿宋" w:cs="仿宋"/>
          <w:b/>
          <w:bCs/>
          <w:sz w:val="28"/>
          <w:szCs w:val="36"/>
        </w:rPr>
        <w:t>二、项目优势</w:t>
      </w:r>
    </w:p>
    <w:p w14:paraId="1B8197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b/>
          <w:bCs/>
          <w:sz w:val="24"/>
          <w:szCs w:val="32"/>
          <w:lang w:val="en-US" w:eastAsia="zh-CN"/>
        </w:rPr>
      </w:pPr>
      <w:r>
        <w:rPr>
          <w:rFonts w:hint="eastAsia" w:ascii="仿宋" w:hAnsi="仿宋" w:eastAsia="仿宋" w:cs="仿宋"/>
          <w:b/>
          <w:bCs/>
          <w:sz w:val="24"/>
          <w:szCs w:val="32"/>
        </w:rPr>
        <w:t>1.顶尖</w:t>
      </w:r>
      <w:r>
        <w:rPr>
          <w:rFonts w:hint="eastAsia" w:ascii="仿宋" w:hAnsi="仿宋" w:eastAsia="仿宋" w:cs="仿宋"/>
          <w:b/>
          <w:bCs/>
          <w:sz w:val="24"/>
          <w:szCs w:val="32"/>
          <w:lang w:val="en-US" w:eastAsia="zh-CN"/>
        </w:rPr>
        <w:t>学术资源与科研能力提升</w:t>
      </w:r>
    </w:p>
    <w:p w14:paraId="7F0131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b/>
          <w:bCs/>
          <w:sz w:val="24"/>
          <w:szCs w:val="32"/>
        </w:rPr>
      </w:pPr>
      <w:r>
        <w:rPr>
          <w:rFonts w:hint="default" w:ascii="仿宋" w:hAnsi="仿宋" w:eastAsia="仿宋" w:cs="仿宋"/>
          <w:kern w:val="2"/>
          <w:sz w:val="24"/>
          <w:szCs w:val="32"/>
          <w:lang w:val="en-US" w:eastAsia="zh-CN" w:bidi="ar-SA"/>
        </w:rPr>
        <w:t>本项目课程由悉尼大学资深教授及其科研团队全程主导，系统讲授基础力学核心理论与方法，涵盖固体及流体力学关键内容，并紧密结合国际学术前沿，聚焦量子计算与人工智能及碳中和等战略领域的当前进展、未来前景与关键挑战。课程将指导学员运用模拟方法开展材料应力应变分析，并对相关前沿文献进行深入研读与复现。通过循序渐进的课堂训练，学员将系统完成从理论奠基、设备使用到数据处理与成果解析的全链条科研训练，沉浸式体验世界一流大学的学术环境与创新文化。</w:t>
      </w:r>
    </w:p>
    <w:p w14:paraId="31FA3D8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b/>
          <w:bCs/>
          <w:sz w:val="24"/>
          <w:szCs w:val="32"/>
          <w:lang w:val="en-US" w:eastAsia="zh-CN"/>
        </w:rPr>
      </w:pPr>
      <w:r>
        <w:rPr>
          <w:rFonts w:hint="eastAsia" w:ascii="仿宋" w:hAnsi="仿宋" w:eastAsia="仿宋" w:cs="仿宋"/>
          <w:b/>
          <w:bCs/>
          <w:sz w:val="24"/>
          <w:szCs w:val="32"/>
          <w:lang w:val="en-US" w:eastAsia="zh-CN"/>
        </w:rPr>
        <w:t>2</w:t>
      </w:r>
      <w:r>
        <w:rPr>
          <w:rFonts w:hint="default" w:ascii="仿宋" w:hAnsi="仿宋" w:eastAsia="仿宋" w:cs="仿宋"/>
          <w:b/>
          <w:bCs/>
          <w:sz w:val="24"/>
          <w:szCs w:val="32"/>
        </w:rPr>
        <w:t>.</w:t>
      </w:r>
      <w:r>
        <w:rPr>
          <w:rFonts w:hint="eastAsia" w:ascii="仿宋" w:hAnsi="仿宋" w:eastAsia="仿宋" w:cs="仿宋"/>
          <w:b/>
          <w:bCs/>
          <w:sz w:val="24"/>
          <w:szCs w:val="32"/>
          <w:lang w:val="en-US" w:eastAsia="zh-CN"/>
        </w:rPr>
        <w:t>工程力学课程与悉尼文化探索</w:t>
      </w:r>
    </w:p>
    <w:p w14:paraId="49ED370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b w:val="0"/>
          <w:bCs w:val="0"/>
          <w:sz w:val="24"/>
          <w:szCs w:val="32"/>
        </w:rPr>
      </w:pPr>
      <w:r>
        <w:rPr>
          <w:rFonts w:hint="default" w:ascii="仿宋" w:hAnsi="仿宋" w:eastAsia="仿宋" w:cs="仿宋"/>
          <w:b w:val="0"/>
          <w:bCs w:val="0"/>
          <w:sz w:val="24"/>
          <w:szCs w:val="32"/>
        </w:rPr>
        <w:t>本项目与课程以“理论学习-课堂训练-文化探索”为核心，结合工程力学专业核心内容与悉尼城市探索，帮助学生夯实力学理论、提升科研能力，通过实地探访实现知识场景化应用与跨文化素养提升。依托课堂讲授、小组协作训练与地标探索，学生将在学术与城市体验中双向成长，让专业学习更具趣味性与国际视野。</w:t>
      </w:r>
    </w:p>
    <w:p w14:paraId="04C4762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b/>
          <w:bCs/>
          <w:sz w:val="24"/>
          <w:szCs w:val="32"/>
        </w:rPr>
      </w:pPr>
      <w:r>
        <w:rPr>
          <w:rFonts w:hint="eastAsia" w:ascii="仿宋" w:hAnsi="仿宋" w:eastAsia="仿宋" w:cs="仿宋"/>
          <w:b/>
          <w:bCs/>
          <w:sz w:val="24"/>
          <w:szCs w:val="32"/>
          <w:lang w:val="en-US" w:eastAsia="zh-CN"/>
        </w:rPr>
        <w:t>3</w:t>
      </w:r>
      <w:r>
        <w:rPr>
          <w:rFonts w:hint="default" w:ascii="仿宋" w:hAnsi="仿宋" w:eastAsia="仿宋" w:cs="仿宋"/>
          <w:b/>
          <w:bCs/>
          <w:sz w:val="24"/>
          <w:szCs w:val="32"/>
        </w:rPr>
        <w:t>. 专业</w:t>
      </w:r>
      <w:r>
        <w:rPr>
          <w:rFonts w:hint="eastAsia" w:ascii="仿宋" w:hAnsi="仿宋" w:eastAsia="仿宋" w:cs="仿宋"/>
          <w:b/>
          <w:bCs/>
          <w:sz w:val="24"/>
          <w:szCs w:val="32"/>
          <w:lang w:val="en-US" w:eastAsia="zh-CN"/>
        </w:rPr>
        <w:t>指导</w:t>
      </w:r>
      <w:r>
        <w:rPr>
          <w:rFonts w:hint="default" w:ascii="仿宋" w:hAnsi="仿宋" w:eastAsia="仿宋" w:cs="仿宋"/>
          <w:b/>
          <w:bCs/>
          <w:sz w:val="24"/>
          <w:szCs w:val="32"/>
        </w:rPr>
        <w:t>与安全保障</w:t>
      </w:r>
    </w:p>
    <w:p w14:paraId="06AA168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项目提供覆盖全过程的专业指导，提供全程项目咨询、中英文面试指导、签证办理指导、机票预订建议、行前交流分享、接送机协调、入境指引及学习生活指导等，同时统一购买境外保险，为学生的访学之旅保驾护航，确保学生在安全、有序且高效的环境中顺利完成访学任务。</w:t>
      </w:r>
    </w:p>
    <w:p w14:paraId="1DCC66D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24"/>
          <w:szCs w:val="32"/>
          <w:lang w:val="en-US" w:eastAsia="zh-CN"/>
        </w:rPr>
      </w:pPr>
    </w:p>
    <w:p w14:paraId="32F4B2D2">
      <w:pPr>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三、项目介绍</w:t>
      </w:r>
    </w:p>
    <w:p w14:paraId="70BFA9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 项目主题：力学前沿与科研</w:t>
      </w:r>
      <w:r>
        <w:rPr>
          <w:rFonts w:hint="eastAsia" w:ascii="仿宋" w:hAnsi="仿宋" w:eastAsia="仿宋" w:cs="仿宋"/>
          <w:sz w:val="24"/>
          <w:szCs w:val="24"/>
          <w:lang w:val="en-US" w:eastAsia="zh-CN"/>
        </w:rPr>
        <w:t>训练</w:t>
      </w:r>
    </w:p>
    <w:p w14:paraId="73E539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2. 项目时间：2026年7月</w:t>
      </w:r>
      <w:r>
        <w:rPr>
          <w:rFonts w:hint="eastAsia" w:ascii="仿宋" w:hAnsi="仿宋" w:eastAsia="仿宋" w:cs="仿宋"/>
          <w:sz w:val="24"/>
          <w:szCs w:val="24"/>
          <w:lang w:val="en-US" w:eastAsia="zh-CN"/>
        </w:rPr>
        <w:t>22</w:t>
      </w:r>
      <w:r>
        <w:rPr>
          <w:rFonts w:hint="eastAsia" w:ascii="仿宋" w:hAnsi="仿宋" w:eastAsia="仿宋" w:cs="仿宋"/>
          <w:sz w:val="24"/>
          <w:szCs w:val="24"/>
        </w:rPr>
        <w:t>日-</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18</w:t>
      </w:r>
      <w:r>
        <w:rPr>
          <w:rFonts w:hint="eastAsia" w:ascii="仿宋" w:hAnsi="仿宋" w:eastAsia="仿宋" w:cs="仿宋"/>
          <w:sz w:val="24"/>
          <w:szCs w:val="24"/>
        </w:rPr>
        <w:t>日（</w:t>
      </w:r>
      <w:r>
        <w:rPr>
          <w:rFonts w:hint="eastAsia" w:ascii="仿宋" w:hAnsi="仿宋" w:eastAsia="仿宋" w:cs="仿宋"/>
          <w:sz w:val="24"/>
          <w:szCs w:val="24"/>
          <w:lang w:val="en-US" w:eastAsia="zh-CN"/>
        </w:rPr>
        <w:t>28天</w:t>
      </w:r>
      <w:r>
        <w:rPr>
          <w:rFonts w:hint="eastAsia" w:ascii="仿宋" w:hAnsi="仿宋" w:eastAsia="仿宋" w:cs="仿宋"/>
          <w:sz w:val="24"/>
          <w:szCs w:val="24"/>
        </w:rPr>
        <w:t>含往返行程）</w:t>
      </w:r>
    </w:p>
    <w:p w14:paraId="183772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具体出发、返回时间可能根据航班调度微调，以最终通知为准。</w:t>
      </w:r>
    </w:p>
    <w:p w14:paraId="60B3B6FF">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主要课程内容</w:t>
      </w:r>
    </w:p>
    <w:p w14:paraId="2F108D4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力学核心理论与科研方法</w:t>
      </w:r>
      <w:r>
        <w:rPr>
          <w:rFonts w:hint="eastAsia" w:ascii="仿宋" w:hAnsi="仿宋" w:eastAsia="仿宋" w:cs="仿宋"/>
          <w:b/>
          <w:bCs/>
          <w:sz w:val="24"/>
          <w:szCs w:val="24"/>
        </w:rPr>
        <w:t>模块</w:t>
      </w:r>
    </w:p>
    <w:tbl>
      <w:tblPr>
        <w:tblStyle w:val="12"/>
        <w:tblW w:w="8850"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2"/>
        <w:gridCol w:w="5988"/>
      </w:tblGrid>
      <w:tr w14:paraId="65B0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2862" w:type="dxa"/>
            <w:vAlign w:val="center"/>
          </w:tcPr>
          <w:p w14:paraId="7E6559D8">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课程主题</w:t>
            </w:r>
          </w:p>
        </w:tc>
        <w:tc>
          <w:tcPr>
            <w:tcW w:w="5988" w:type="dxa"/>
            <w:vAlign w:val="center"/>
          </w:tcPr>
          <w:p w14:paraId="36FF86C2">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核心内容</w:t>
            </w:r>
          </w:p>
        </w:tc>
      </w:tr>
      <w:tr w14:paraId="5DFA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vAlign w:val="center"/>
          </w:tcPr>
          <w:p w14:paraId="11D17B7D">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固体力学理论</w:t>
            </w:r>
          </w:p>
        </w:tc>
        <w:tc>
          <w:tcPr>
            <w:tcW w:w="5988" w:type="dxa"/>
            <w:vAlign w:val="center"/>
          </w:tcPr>
          <w:p w14:paraId="3A685F72">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系统介绍可变形结构的平衡条件与变形协调理论，夯实力学研究的理论基础。</w:t>
            </w:r>
          </w:p>
        </w:tc>
      </w:tr>
      <w:tr w14:paraId="2238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shd w:val="clear" w:color="auto" w:fill="auto"/>
            <w:vAlign w:val="center"/>
          </w:tcPr>
          <w:p w14:paraId="625ED88D">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流体力学理论</w:t>
            </w:r>
          </w:p>
        </w:tc>
        <w:tc>
          <w:tcPr>
            <w:tcW w:w="5988" w:type="dxa"/>
            <w:shd w:val="clear" w:color="auto" w:fill="auto"/>
            <w:vAlign w:val="center"/>
          </w:tcPr>
          <w:p w14:paraId="25BAA2E1">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讲解黏性流体中质量守恒与动量守恒的理论框架，并引入湍流与绕流等关键问题。</w:t>
            </w:r>
          </w:p>
        </w:tc>
      </w:tr>
      <w:tr w14:paraId="09F0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shd w:val="clear" w:color="auto" w:fill="auto"/>
            <w:vAlign w:val="center"/>
          </w:tcPr>
          <w:p w14:paraId="6CF114BC">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前沿交叉理论</w:t>
            </w:r>
          </w:p>
        </w:tc>
        <w:tc>
          <w:tcPr>
            <w:tcW w:w="5988" w:type="dxa"/>
            <w:shd w:val="clear" w:color="auto" w:fill="auto"/>
            <w:vAlign w:val="center"/>
          </w:tcPr>
          <w:p w14:paraId="2854FE28">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通过机器人控制、量子人工智能等主题，引导学生了解力学与AI、量子计算的交叉研究方向。</w:t>
            </w:r>
          </w:p>
        </w:tc>
      </w:tr>
      <w:tr w14:paraId="5F3B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shd w:val="clear" w:color="auto" w:fill="auto"/>
            <w:vAlign w:val="center"/>
          </w:tcPr>
          <w:p w14:paraId="7F7C8197">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文献综述理论</w:t>
            </w:r>
          </w:p>
        </w:tc>
        <w:tc>
          <w:tcPr>
            <w:tcW w:w="5988" w:type="dxa"/>
            <w:shd w:val="clear" w:color="auto" w:fill="auto"/>
            <w:vAlign w:val="center"/>
          </w:tcPr>
          <w:p w14:paraId="1C6102F6">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系统讲解学术文献检索、筛选与归纳方法，帮助学生理解文献综述的结构逻辑与学术表达规范。</w:t>
            </w:r>
          </w:p>
        </w:tc>
      </w:tr>
      <w:tr w14:paraId="0B39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shd w:val="clear" w:color="auto" w:fill="auto"/>
            <w:vAlign w:val="center"/>
          </w:tcPr>
          <w:p w14:paraId="556555BA">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科研选题与计划设计</w:t>
            </w:r>
          </w:p>
        </w:tc>
        <w:tc>
          <w:tcPr>
            <w:tcW w:w="5988" w:type="dxa"/>
            <w:shd w:val="clear" w:color="auto" w:fill="auto"/>
            <w:vAlign w:val="center"/>
          </w:tcPr>
          <w:p w14:paraId="6FBF983F">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引导学生识别具有研究价值的科学问题，理解科研计划书的核心结构，明确科学挑战与研究目标。</w:t>
            </w:r>
          </w:p>
        </w:tc>
      </w:tr>
    </w:tbl>
    <w:p w14:paraId="62B776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sz w:val="24"/>
          <w:szCs w:val="24"/>
        </w:rPr>
      </w:pPr>
    </w:p>
    <w:p w14:paraId="2DF9CF2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核心</w:t>
      </w:r>
      <w:r>
        <w:rPr>
          <w:rFonts w:hint="eastAsia" w:ascii="仿宋" w:hAnsi="仿宋" w:eastAsia="仿宋" w:cs="仿宋"/>
          <w:b/>
          <w:bCs/>
          <w:sz w:val="24"/>
          <w:szCs w:val="24"/>
        </w:rPr>
        <w:t>科研</w:t>
      </w:r>
      <w:r>
        <w:rPr>
          <w:rFonts w:hint="eastAsia" w:ascii="仿宋" w:hAnsi="仿宋" w:eastAsia="仿宋" w:cs="仿宋"/>
          <w:b/>
          <w:bCs/>
          <w:sz w:val="24"/>
          <w:szCs w:val="24"/>
          <w:lang w:val="en-US" w:eastAsia="zh-CN"/>
        </w:rPr>
        <w:t>训练</w:t>
      </w:r>
      <w:r>
        <w:rPr>
          <w:rFonts w:hint="eastAsia" w:ascii="仿宋" w:hAnsi="仿宋" w:eastAsia="仿宋" w:cs="仿宋"/>
          <w:b/>
          <w:bCs/>
          <w:sz w:val="24"/>
          <w:szCs w:val="24"/>
        </w:rPr>
        <w:t>模块</w:t>
      </w:r>
    </w:p>
    <w:tbl>
      <w:tblPr>
        <w:tblStyle w:val="12"/>
        <w:tblW w:w="8850"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481"/>
      </w:tblGrid>
      <w:tr w14:paraId="1477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vAlign w:val="center"/>
          </w:tcPr>
          <w:p w14:paraId="4437CC0D">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课程主题</w:t>
            </w:r>
          </w:p>
        </w:tc>
        <w:tc>
          <w:tcPr>
            <w:tcW w:w="5481" w:type="dxa"/>
            <w:vAlign w:val="center"/>
          </w:tcPr>
          <w:p w14:paraId="26D4D8B3">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核心内容</w:t>
            </w:r>
          </w:p>
        </w:tc>
      </w:tr>
      <w:tr w14:paraId="5CCC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69" w:type="dxa"/>
            <w:vAlign w:val="center"/>
          </w:tcPr>
          <w:p w14:paraId="4A0D83C0">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文献分析与学术表达</w:t>
            </w:r>
          </w:p>
        </w:tc>
        <w:tc>
          <w:tcPr>
            <w:tcW w:w="5481" w:type="dxa"/>
            <w:vAlign w:val="center"/>
          </w:tcPr>
          <w:p w14:paraId="2A48C153">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通过小组任务和展示训练学生的文献理解能力、学术表达能力与逻辑组织能力。</w:t>
            </w:r>
          </w:p>
        </w:tc>
      </w:tr>
      <w:tr w14:paraId="4676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vAlign w:val="center"/>
          </w:tcPr>
          <w:p w14:paraId="7D6BEC20">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科研论文写作实践</w:t>
            </w:r>
          </w:p>
        </w:tc>
        <w:tc>
          <w:tcPr>
            <w:tcW w:w="5481" w:type="dxa"/>
            <w:vAlign w:val="center"/>
          </w:tcPr>
          <w:p w14:paraId="5E2C0C02">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指导学生完成科研论文的核心框架设计，提升科研构思与学术写作能力。</w:t>
            </w:r>
          </w:p>
        </w:tc>
      </w:tr>
      <w:tr w14:paraId="1657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vAlign w:val="center"/>
          </w:tcPr>
          <w:p w14:paraId="5C0A30B8">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数值模拟与有限元建模</w:t>
            </w:r>
          </w:p>
        </w:tc>
        <w:tc>
          <w:tcPr>
            <w:tcW w:w="5481" w:type="dxa"/>
            <w:vAlign w:val="center"/>
          </w:tcPr>
          <w:p w14:paraId="67E9834E">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背景导入：</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a.实现碳中和的关键挑战与核心策略</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b.地下储气在实现碳中和目标中的作用</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c.弹性效应对地下储气系统的影响</w:t>
            </w:r>
          </w:p>
          <w:p w14:paraId="279EAD4C">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实操训练：</w:t>
            </w:r>
          </w:p>
          <w:p w14:paraId="1AFD48CE">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应力分析与中尺度建模（砂岩材料）</w:t>
            </w:r>
          </w:p>
          <w:p w14:paraId="74E1BADF">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弹性问题的有限元模拟</w:t>
            </w:r>
          </w:p>
        </w:tc>
      </w:tr>
      <w:tr w14:paraId="7ED5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vAlign w:val="center"/>
          </w:tcPr>
          <w:p w14:paraId="4FE9B414">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项目申请与科研指导交流</w:t>
            </w:r>
          </w:p>
        </w:tc>
        <w:tc>
          <w:tcPr>
            <w:tcW w:w="5481" w:type="dxa"/>
            <w:vAlign w:val="center"/>
          </w:tcPr>
          <w:p w14:paraId="62C110EF">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通过项目申请说明与硕博申请、奖学金、科研等经验分享，帮助学生全面了解海外科研学习路径与发展方向。</w:t>
            </w:r>
          </w:p>
        </w:tc>
      </w:tr>
      <w:tr w14:paraId="1500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shd w:val="clear" w:color="auto" w:fill="auto"/>
            <w:vAlign w:val="center"/>
          </w:tcPr>
          <w:p w14:paraId="250175EB">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批判性文献研讨</w:t>
            </w:r>
          </w:p>
        </w:tc>
        <w:tc>
          <w:tcPr>
            <w:tcW w:w="5481" w:type="dxa"/>
            <w:shd w:val="clear" w:color="auto" w:fill="auto"/>
            <w:vAlign w:val="center"/>
          </w:tcPr>
          <w:p w14:paraId="0A14ED75">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训练学生识别论文创新点、推导关键模型，并基于理论分析提出未来研究设想。</w:t>
            </w:r>
          </w:p>
        </w:tc>
      </w:tr>
      <w:tr w14:paraId="6C8D1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shd w:val="clear" w:color="auto" w:fill="auto"/>
            <w:vAlign w:val="center"/>
          </w:tcPr>
          <w:p w14:paraId="5C33CEB5">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学术汇报与答辩</w:t>
            </w:r>
          </w:p>
        </w:tc>
        <w:tc>
          <w:tcPr>
            <w:tcW w:w="5481" w:type="dxa"/>
            <w:shd w:val="clear" w:color="auto" w:fill="auto"/>
            <w:vAlign w:val="center"/>
          </w:tcPr>
          <w:p w14:paraId="7B783DCC">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通过最终展示与问答，模拟真实科研汇报场景，提升学术表达与应变能力。</w:t>
            </w:r>
          </w:p>
        </w:tc>
      </w:tr>
    </w:tbl>
    <w:p w14:paraId="3DDF50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sz w:val="24"/>
          <w:szCs w:val="24"/>
          <w:lang w:val="en-US" w:eastAsia="zh-CN"/>
        </w:rPr>
      </w:pPr>
    </w:p>
    <w:p w14:paraId="2B58FB3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校园探索</w:t>
      </w:r>
      <w:r>
        <w:rPr>
          <w:rFonts w:hint="eastAsia" w:ascii="仿宋" w:hAnsi="仿宋" w:eastAsia="仿宋" w:cs="仿宋"/>
          <w:b/>
          <w:bCs/>
          <w:sz w:val="24"/>
          <w:szCs w:val="24"/>
        </w:rPr>
        <w:t>与文化体验活动</w:t>
      </w:r>
    </w:p>
    <w:tbl>
      <w:tblPr>
        <w:tblStyle w:val="12"/>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0"/>
        <w:gridCol w:w="5760"/>
      </w:tblGrid>
      <w:tr w14:paraId="543C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3040" w:type="dxa"/>
          </w:tcPr>
          <w:p w14:paraId="10F01E55">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活动主题</w:t>
            </w:r>
          </w:p>
        </w:tc>
        <w:tc>
          <w:tcPr>
            <w:tcW w:w="5760" w:type="dxa"/>
          </w:tcPr>
          <w:p w14:paraId="054F3803">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核心内容</w:t>
            </w:r>
          </w:p>
        </w:tc>
      </w:tr>
      <w:tr w14:paraId="6849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0" w:type="dxa"/>
          </w:tcPr>
          <w:p w14:paraId="315CB8CB">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校园与学术环境探索</w:t>
            </w:r>
          </w:p>
        </w:tc>
        <w:tc>
          <w:tcPr>
            <w:tcW w:w="5760" w:type="dxa"/>
          </w:tcPr>
          <w:p w14:paraId="2A012FD2">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通过校园导览了解建筑历史与校园故事，参访博物馆中的埃及文物（如木乃伊），并走进VR实验室，认识高校科研环境与教学资源，感受学术氛围与创新实践。</w:t>
            </w:r>
          </w:p>
        </w:tc>
      </w:tr>
      <w:tr w14:paraId="1110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0" w:type="dxa"/>
          </w:tcPr>
          <w:p w14:paraId="44F20022">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悉尼文化与生态探索</w:t>
            </w:r>
          </w:p>
        </w:tc>
        <w:tc>
          <w:tcPr>
            <w:tcW w:w="5760" w:type="dxa"/>
          </w:tcPr>
          <w:p w14:paraId="554085C4">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围绕悉尼的城市发展与生态特色，登临悉尼塔俯瞰城市网格与港湾地貌，结合课程理解城市规划与空间逻辑；参访悉尼水族馆观察南半球典型海洋物种；在杜莎夫人蜡像馆探讨文化偶像与社会影响力；走进悉尼野生动物园，认识澳洲特有动物及生态保护实践。</w:t>
            </w:r>
          </w:p>
        </w:tc>
      </w:tr>
      <w:tr w14:paraId="3AF7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0" w:type="dxa"/>
          </w:tcPr>
          <w:p w14:paraId="61728B05">
            <w:pPr>
              <w:spacing w:after="0" w:line="240" w:lineRule="auto"/>
              <w:rPr>
                <w:rFonts w:hint="eastAsia" w:ascii="仿宋" w:hAnsi="仿宋" w:eastAsia="仿宋" w:cs="仿宋"/>
                <w:sz w:val="24"/>
                <w:szCs w:val="24"/>
                <w:lang w:val="en-US" w:eastAsia="zh-CN"/>
              </w:rPr>
            </w:pPr>
            <w:r>
              <w:rPr>
                <w:rFonts w:hint="eastAsia" w:ascii="仿宋" w:hAnsi="仿宋" w:eastAsia="仿宋" w:cs="仿宋"/>
                <w:sz w:val="24"/>
                <w:szCs w:val="24"/>
              </w:rPr>
              <w:t>澳洲BBQ</w:t>
            </w:r>
            <w:r>
              <w:rPr>
                <w:rFonts w:hint="eastAsia" w:ascii="仿宋" w:hAnsi="仿宋" w:eastAsia="仿宋" w:cs="仿宋"/>
                <w:sz w:val="24"/>
                <w:szCs w:val="24"/>
                <w:lang w:val="en-US" w:eastAsia="zh-CN"/>
              </w:rPr>
              <w:t>活动</w:t>
            </w:r>
          </w:p>
        </w:tc>
        <w:tc>
          <w:tcPr>
            <w:tcW w:w="5760" w:type="dxa"/>
          </w:tcPr>
          <w:p w14:paraId="3738609A">
            <w:pPr>
              <w:keepNext/>
              <w:keepLines w:val="0"/>
              <w:pageBreakBefore w:val="0"/>
              <w:widowControl w:val="0"/>
              <w:kinsoku/>
              <w:wordWrap/>
              <w:overflowPunct/>
              <w:topLinePunct w:val="0"/>
              <w:autoSpaceDE/>
              <w:autoSpaceDN/>
              <w:bidi w:val="0"/>
              <w:adjustRightInd/>
              <w:snapToGrid w:val="0"/>
              <w:spacing w:after="0" w:line="240" w:lineRule="auto"/>
              <w:ind w:left="0" w:leftChars="0" w:right="0" w:rightChars="0"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体验澳式BBQ，在轻松的社交场景中感受澳洲美食，促进跨文化交流与互动，在美食与交流中拓展国际视野与人际网络。</w:t>
            </w:r>
          </w:p>
        </w:tc>
      </w:tr>
    </w:tbl>
    <w:p w14:paraId="6C440272">
      <w:pPr>
        <w:pStyle w:val="10"/>
        <w:keepNext w:val="0"/>
        <w:keepLines w:val="0"/>
        <w:widowControl/>
        <w:suppressLineNumbers w:val="0"/>
        <w:spacing w:before="0" w:beforeAutospacing="1" w:after="0" w:afterAutospacing="1"/>
        <w:ind w:left="0" w:right="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*以上课程、活动内容可能根据实际教学安排微调。本项目包含以上所有活动门票及餐费、服务费和食材费，学生无需额外支付。</w:t>
      </w:r>
    </w:p>
    <w:p w14:paraId="284A3EB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 项目收获</w:t>
      </w:r>
    </w:p>
    <w:p w14:paraId="76ADCAA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sz w:val="24"/>
          <w:szCs w:val="24"/>
        </w:rPr>
      </w:pPr>
      <w:r>
        <w:rPr>
          <w:rFonts w:hint="eastAsia" w:ascii="仿宋" w:hAnsi="仿宋" w:eastAsia="仿宋" w:cs="仿宋"/>
          <w:b/>
          <w:bCs/>
          <w:sz w:val="24"/>
          <w:szCs w:val="24"/>
        </w:rPr>
        <w:t>学术与科研技能提升：</w:t>
      </w:r>
      <w:r>
        <w:rPr>
          <w:rFonts w:hint="eastAsia" w:ascii="仿宋" w:hAnsi="仿宋" w:eastAsia="仿宋" w:cs="仿宋"/>
          <w:sz w:val="24"/>
          <w:szCs w:val="24"/>
        </w:rPr>
        <w:t>系统掌握工程力学核心理论与前沿交叉应用，熟练科研文献处理、数值模拟等关键方法及技能，构建完整科研思维体系。</w:t>
      </w:r>
    </w:p>
    <w:p w14:paraId="7B0A739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sz w:val="24"/>
          <w:szCs w:val="24"/>
        </w:rPr>
      </w:pPr>
      <w:r>
        <w:rPr>
          <w:rFonts w:hint="eastAsia" w:ascii="仿宋" w:hAnsi="仿宋" w:eastAsia="仿宋" w:cs="仿宋"/>
          <w:b/>
          <w:bCs/>
          <w:sz w:val="24"/>
          <w:szCs w:val="24"/>
        </w:rPr>
        <w:t>高含金量认证与背书：</w:t>
      </w:r>
      <w:r>
        <w:rPr>
          <w:rFonts w:hint="eastAsia" w:ascii="仿宋" w:hAnsi="仿宋" w:eastAsia="仿宋" w:cs="仿宋"/>
          <w:b w:val="0"/>
          <w:bCs w:val="0"/>
          <w:sz w:val="24"/>
          <w:szCs w:val="24"/>
          <w:lang w:val="en-US" w:eastAsia="zh-CN"/>
        </w:rPr>
        <w:t>完成全部课程后，将</w:t>
      </w:r>
      <w:r>
        <w:rPr>
          <w:rFonts w:hint="eastAsia" w:ascii="仿宋" w:hAnsi="仿宋" w:eastAsia="仿宋" w:cs="仿宋"/>
          <w:sz w:val="24"/>
          <w:szCs w:val="24"/>
        </w:rPr>
        <w:t>获得</w:t>
      </w:r>
      <w:r>
        <w:rPr>
          <w:rFonts w:hint="eastAsia" w:ascii="仿宋" w:hAnsi="仿宋" w:eastAsia="仿宋" w:cs="仿宋"/>
          <w:b w:val="0"/>
          <w:bCs w:val="0"/>
          <w:sz w:val="24"/>
          <w:szCs w:val="24"/>
          <w:lang w:val="en-US" w:eastAsia="zh-CN"/>
        </w:rPr>
        <w:t>悉尼大学颁发的</w:t>
      </w:r>
      <w:r>
        <w:rPr>
          <w:rFonts w:hint="eastAsia" w:ascii="仿宋" w:hAnsi="仿宋" w:eastAsia="仿宋" w:cs="仿宋"/>
          <w:sz w:val="24"/>
          <w:szCs w:val="24"/>
        </w:rPr>
        <w:t>项目结业证</w:t>
      </w:r>
      <w:r>
        <w:rPr>
          <w:rFonts w:hint="eastAsia" w:ascii="仿宋" w:hAnsi="仿宋" w:eastAsia="仿宋" w:cs="仿宋"/>
          <w:sz w:val="24"/>
          <w:szCs w:val="24"/>
          <w:lang w:val="en-US" w:eastAsia="zh-CN"/>
        </w:rPr>
        <w:t>书</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同时，考核</w:t>
      </w:r>
      <w:r>
        <w:rPr>
          <w:rFonts w:hint="eastAsia" w:ascii="仿宋" w:hAnsi="仿宋" w:eastAsia="仿宋" w:cs="仿宋"/>
          <w:b w:val="0"/>
          <w:bCs w:val="0"/>
          <w:sz w:val="24"/>
          <w:szCs w:val="24"/>
          <w:lang w:val="en-US" w:eastAsia="zh-CN"/>
        </w:rPr>
        <w:t>位于前10%的同学还可获得supporting letter</w:t>
      </w:r>
      <w:r>
        <w:rPr>
          <w:rFonts w:hint="eastAsia" w:ascii="仿宋" w:hAnsi="仿宋" w:eastAsia="仿宋" w:cs="仿宋"/>
          <w:sz w:val="24"/>
          <w:szCs w:val="24"/>
        </w:rPr>
        <w:t>,可作为学员的升学、就业或学术竞赛的有力背书。</w:t>
      </w:r>
    </w:p>
    <w:p w14:paraId="402C0C2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sz w:val="24"/>
          <w:szCs w:val="24"/>
        </w:rPr>
      </w:pPr>
      <w:r>
        <w:rPr>
          <w:rFonts w:hint="eastAsia" w:ascii="仿宋" w:hAnsi="仿宋" w:eastAsia="仿宋" w:cs="仿宋"/>
          <w:b/>
          <w:bCs/>
          <w:sz w:val="24"/>
          <w:szCs w:val="24"/>
        </w:rPr>
        <w:t>国际视野与学术人脉拓展：</w:t>
      </w:r>
      <w:r>
        <w:rPr>
          <w:rFonts w:hint="eastAsia" w:ascii="仿宋" w:hAnsi="仿宋" w:eastAsia="仿宋" w:cs="仿宋"/>
          <w:sz w:val="24"/>
          <w:szCs w:val="24"/>
        </w:rPr>
        <w:t>与悉尼大学师生交流搭建国际化学术人脉，通过悉尼城市探索与文化体验拓宽国际视野，深化海外学术与社会认知。</w:t>
      </w:r>
    </w:p>
    <w:p w14:paraId="7B9FA30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eastAsia" w:ascii="仿宋" w:hAnsi="仿宋" w:eastAsia="仿宋" w:cs="仿宋"/>
          <w:sz w:val="24"/>
          <w:szCs w:val="24"/>
        </w:rPr>
      </w:pPr>
      <w:r>
        <w:rPr>
          <w:rFonts w:hint="eastAsia" w:ascii="仿宋" w:hAnsi="仿宋" w:eastAsia="仿宋" w:cs="仿宋"/>
          <w:b/>
          <w:bCs/>
          <w:sz w:val="24"/>
          <w:szCs w:val="24"/>
        </w:rPr>
        <w:t>综合素养与跨文化能力提升：</w:t>
      </w:r>
      <w:r>
        <w:rPr>
          <w:rFonts w:hint="eastAsia" w:ascii="仿宋" w:hAnsi="仿宋" w:eastAsia="仿宋" w:cs="仿宋"/>
          <w:sz w:val="24"/>
          <w:szCs w:val="24"/>
        </w:rPr>
        <w:t>提升全英文学术沟通与跨文化适应能力，增强团队协作、自主学习及问题解决能力，适配国际化科研与工作场景。</w:t>
      </w:r>
    </w:p>
    <w:p w14:paraId="3B45A248">
      <w:pPr>
        <w:pStyle w:val="2"/>
        <w:rPr>
          <w:rFonts w:hint="eastAsia"/>
        </w:rPr>
      </w:pPr>
    </w:p>
    <w:p w14:paraId="1868D96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val="0"/>
          <w:bCs w:val="0"/>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 xml:space="preserve">. </w:t>
      </w:r>
      <w:r>
        <w:rPr>
          <w:rFonts w:hint="eastAsia" w:ascii="仿宋" w:hAnsi="仿宋" w:eastAsia="仿宋" w:cs="仿宋"/>
          <w:b w:val="0"/>
          <w:bCs w:val="0"/>
          <w:sz w:val="24"/>
          <w:szCs w:val="24"/>
        </w:rPr>
        <w:t>住宿安排</w:t>
      </w:r>
    </w:p>
    <w:p w14:paraId="6F0CC53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项目期间拟安排入住当地酒店或公寓。住宿环境符合基本安全与卫生标准，配备必要的生活设施，为学生提供稳定、安静的休息与学习空间。</w:t>
      </w:r>
    </w:p>
    <w:p w14:paraId="40C64BF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如果学生交费时酒店已满员，则调整到其他酒店或公寓，设施可能不同。</w:t>
      </w:r>
    </w:p>
    <w:p w14:paraId="637348CC">
      <w:pPr>
        <w:pStyle w:val="2"/>
        <w:rPr>
          <w:rFonts w:hint="eastAsia"/>
          <w:color w:val="000000" w:themeColor="text1"/>
          <w:sz w:val="28"/>
          <w:szCs w:val="28"/>
          <w14:textFill>
            <w14:solidFill>
              <w14:schemeClr w14:val="tx1"/>
            </w14:solidFill>
          </w14:textFill>
        </w:rPr>
      </w:pPr>
    </w:p>
    <w:p w14:paraId="40C64B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四</w:t>
      </w:r>
      <w:r>
        <w:rPr>
          <w:rFonts w:hint="eastAsia" w:ascii="仿宋" w:hAnsi="仿宋" w:eastAsia="仿宋" w:cs="仿宋"/>
          <w:b/>
          <w:bCs/>
          <w:color w:val="000000" w:themeColor="text1"/>
          <w:sz w:val="28"/>
          <w:szCs w:val="28"/>
          <w14:textFill>
            <w14:solidFill>
              <w14:schemeClr w14:val="tx1"/>
            </w14:solidFill>
          </w14:textFill>
        </w:rPr>
        <w:t>、费用及资助说明</w:t>
      </w:r>
      <w:bookmarkStart w:id="0" w:name="OLE_LINK2"/>
      <w:bookmarkStart w:id="1" w:name="OLE_LINK1"/>
    </w:p>
    <w:bookmarkEnd w:id="0"/>
    <w:bookmarkEnd w:id="1"/>
    <w:p w14:paraId="40C64B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项目费用：</w:t>
      </w:r>
      <w:r>
        <w:rPr>
          <w:rFonts w:hint="eastAsia" w:ascii="仿宋" w:hAnsi="仿宋" w:eastAsia="仿宋" w:cs="仿宋"/>
          <w:b w:val="0"/>
          <w:bCs w:val="0"/>
          <w:color w:val="000000" w:themeColor="text1"/>
          <w:sz w:val="24"/>
          <w:szCs w:val="24"/>
          <w:lang w:val="en-US" w:eastAsia="zh-CN"/>
          <w14:textFill>
            <w14:solidFill>
              <w14:schemeClr w14:val="tx1"/>
            </w14:solidFill>
          </w14:textFill>
        </w:rPr>
        <w:t>7250澳元，约3.4万元人民币（根据汇率浮动）</w:t>
      </w:r>
      <w:r>
        <w:rPr>
          <w:rFonts w:hint="eastAsia" w:ascii="仿宋" w:hAnsi="仿宋" w:eastAsia="仿宋" w:cs="仿宋"/>
          <w:b w:val="0"/>
          <w:bCs w:val="0"/>
          <w:color w:val="000000" w:themeColor="text1"/>
          <w:sz w:val="24"/>
          <w:szCs w:val="24"/>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包含学费、活动课费用、项目管理服务费、住宿及统一接送机费用；不含国际往返机票、签证及第三方专业机构代办费、境外保险费和个人消费。</w:t>
      </w:r>
    </w:p>
    <w:p w14:paraId="40C64B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其余费用参考：机票、</w:t>
      </w:r>
      <w:r>
        <w:rPr>
          <w:rFonts w:hint="eastAsia" w:ascii="仿宋" w:hAnsi="仿宋" w:eastAsia="仿宋" w:cs="仿宋"/>
          <w:b w:val="0"/>
          <w:bCs w:val="0"/>
          <w:color w:val="000000" w:themeColor="text1"/>
          <w:sz w:val="24"/>
          <w:szCs w:val="24"/>
          <w:lang w:val="en-US" w:eastAsia="zh-CN"/>
          <w14:textFill>
            <w14:solidFill>
              <w14:schemeClr w14:val="tx1"/>
            </w14:solidFill>
          </w14:textFill>
        </w:rPr>
        <w:t>签证及第三方专业机构代办费</w:t>
      </w:r>
      <w:r>
        <w:rPr>
          <w:rFonts w:hint="eastAsia" w:ascii="仿宋" w:hAnsi="仿宋" w:eastAsia="仿宋" w:cs="仿宋"/>
          <w:b w:val="0"/>
          <w:bCs w:val="0"/>
          <w:color w:val="000000" w:themeColor="text1"/>
          <w:sz w:val="24"/>
          <w:szCs w:val="24"/>
          <w14:textFill>
            <w14:solidFill>
              <w14:schemeClr w14:val="tx1"/>
            </w14:solidFill>
          </w14:textFill>
        </w:rPr>
        <w:t>、境外保险、生活费等费用须自付。项目方协助办理各项事宜，并提供衣食住行指导。</w:t>
      </w:r>
    </w:p>
    <w:p w14:paraId="40C64B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国际往返机票：往期价格约8000元人民币，具体以航司官网为准</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3F5398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签证及第三方专业机构代办费</w:t>
      </w:r>
      <w:r>
        <w:rPr>
          <w:rFonts w:hint="eastAsia" w:ascii="仿宋" w:hAnsi="仿宋" w:eastAsia="仿宋" w:cs="仿宋"/>
          <w:b w:val="0"/>
          <w:bCs w:val="0"/>
          <w:color w:val="000000" w:themeColor="text1"/>
          <w:sz w:val="24"/>
          <w:szCs w:val="24"/>
          <w14:textFill>
            <w14:solidFill>
              <w14:schemeClr w14:val="tx1"/>
            </w14:solidFill>
          </w14:textFill>
        </w:rPr>
        <w:t>：约</w:t>
      </w:r>
      <w:r>
        <w:rPr>
          <w:rFonts w:hint="eastAsia" w:ascii="仿宋" w:hAnsi="仿宋" w:eastAsia="仿宋" w:cs="仿宋"/>
          <w:b w:val="0"/>
          <w:bCs w:val="0"/>
          <w:color w:val="000000" w:themeColor="text1"/>
          <w:sz w:val="24"/>
          <w:szCs w:val="24"/>
          <w:lang w:val="en-US" w:eastAsia="zh-CN"/>
          <w14:textFill>
            <w14:solidFill>
              <w14:schemeClr w14:val="tx1"/>
            </w14:solidFill>
          </w14:textFill>
        </w:rPr>
        <w:t>1270元</w:t>
      </w:r>
      <w:r>
        <w:rPr>
          <w:rFonts w:hint="eastAsia" w:ascii="仿宋" w:hAnsi="仿宋" w:eastAsia="仿宋" w:cs="仿宋"/>
          <w:b w:val="0"/>
          <w:bCs w:val="0"/>
          <w:color w:val="000000" w:themeColor="text1"/>
          <w:sz w:val="24"/>
          <w:szCs w:val="24"/>
          <w14:textFill>
            <w14:solidFill>
              <w14:schemeClr w14:val="tx1"/>
            </w14:solidFill>
          </w14:textFill>
        </w:rPr>
        <w:t>人民币</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40C64B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境外保险：约</w:t>
      </w:r>
      <w:r>
        <w:rPr>
          <w:rFonts w:hint="eastAsia" w:ascii="仿宋" w:hAnsi="仿宋" w:eastAsia="仿宋" w:cs="仿宋"/>
          <w:b w:val="0"/>
          <w:bCs w:val="0"/>
          <w:color w:val="000000" w:themeColor="text1"/>
          <w:sz w:val="24"/>
          <w:szCs w:val="24"/>
          <w:lang w:val="en-US" w:eastAsia="zh-CN"/>
          <w14:textFill>
            <w14:solidFill>
              <w14:schemeClr w14:val="tx1"/>
            </w14:solidFill>
          </w14:textFill>
        </w:rPr>
        <w:t>500</w:t>
      </w:r>
      <w:r>
        <w:rPr>
          <w:rFonts w:hint="eastAsia" w:ascii="仿宋" w:hAnsi="仿宋" w:eastAsia="仿宋" w:cs="仿宋"/>
          <w:b w:val="0"/>
          <w:bCs w:val="0"/>
          <w:color w:val="000000" w:themeColor="text1"/>
          <w:sz w:val="24"/>
          <w:szCs w:val="24"/>
          <w14:textFill>
            <w14:solidFill>
              <w14:schemeClr w14:val="tx1"/>
            </w14:solidFill>
          </w14:textFill>
        </w:rPr>
        <w:t>元人民币</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47198D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1F2329"/>
          <w:spacing w:val="0"/>
          <w:sz w:val="28"/>
          <w:szCs w:val="28"/>
          <w:shd w:val="clear" w:fill="FFFFFF"/>
        </w:rPr>
      </w:pPr>
      <w:r>
        <w:rPr>
          <w:rFonts w:hint="eastAsia" w:ascii="仿宋" w:hAnsi="仿宋" w:eastAsia="仿宋" w:cs="仿宋"/>
          <w:i w:val="0"/>
          <w:iCs w:val="0"/>
          <w:caps w:val="0"/>
          <w:color w:val="1F2329"/>
          <w:spacing w:val="0"/>
          <w:sz w:val="24"/>
          <w:szCs w:val="24"/>
          <w:shd w:val="clear" w:fill="FFFFFF"/>
        </w:rPr>
        <w:t>澳洲餐费：约15</w:t>
      </w:r>
      <w:r>
        <w:rPr>
          <w:rFonts w:hint="eastAsia" w:ascii="仿宋" w:hAnsi="仿宋" w:eastAsia="仿宋" w:cs="仿宋"/>
          <w:i w:val="0"/>
          <w:iCs w:val="0"/>
          <w:caps w:val="0"/>
          <w:color w:val="1F2329"/>
          <w:spacing w:val="0"/>
          <w:sz w:val="24"/>
          <w:szCs w:val="24"/>
          <w:shd w:val="clear" w:fill="FFFFFF"/>
          <w:lang w:val="en-US" w:eastAsia="zh-CN"/>
        </w:rPr>
        <w:t>-20</w:t>
      </w:r>
      <w:r>
        <w:rPr>
          <w:rFonts w:hint="eastAsia" w:ascii="仿宋" w:hAnsi="仿宋" w:eastAsia="仿宋" w:cs="仿宋"/>
          <w:i w:val="0"/>
          <w:iCs w:val="0"/>
          <w:caps w:val="0"/>
          <w:color w:val="1F2329"/>
          <w:spacing w:val="0"/>
          <w:sz w:val="24"/>
          <w:szCs w:val="24"/>
          <w:shd w:val="clear" w:fill="FFFFFF"/>
        </w:rPr>
        <w:t>澳元/餐，可根据个人消费习惯灵活选择</w:t>
      </w:r>
      <w:r>
        <w:rPr>
          <w:rFonts w:hint="eastAsia" w:ascii="仿宋" w:hAnsi="仿宋" w:eastAsia="仿宋" w:cs="仿宋"/>
          <w:i w:val="0"/>
          <w:iCs w:val="0"/>
          <w:caps w:val="0"/>
          <w:color w:val="1F2329"/>
          <w:spacing w:val="0"/>
          <w:sz w:val="28"/>
          <w:szCs w:val="28"/>
          <w:shd w:val="clear" w:fill="FFFFFF"/>
        </w:rPr>
        <w:t xml:space="preserve">。 </w:t>
      </w:r>
    </w:p>
    <w:p w14:paraId="42EF55D4">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color w:val="000000" w:themeColor="text1"/>
          <w:sz w:val="28"/>
          <w:szCs w:val="28"/>
          <w:lang w:eastAsia="zh-CN"/>
          <w14:textFill>
            <w14:solidFill>
              <w14:schemeClr w14:val="tx1"/>
            </w14:solidFill>
          </w14:textFill>
        </w:rPr>
      </w:pPr>
    </w:p>
    <w:p w14:paraId="40C64B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五、申请条件</w:t>
      </w:r>
    </w:p>
    <w:p w14:paraId="40C64B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1.全日制本科生、研究生，须年满18周岁</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12ED98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2.英语要求：通过项目方中英文线上面试，熟练掌握英语听、说、读、写能力</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CET4成绩425分及以上、雅思5.5分及以上者优先考虑</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2861DF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3.身心健康，无重大疾病或不适宜出国交流的健康状况；</w:t>
      </w:r>
    </w:p>
    <w:p w14:paraId="446346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w:t>
      </w:r>
      <w:r>
        <w:rPr>
          <w:rFonts w:hint="eastAsia" w:ascii="仿宋" w:hAnsi="仿宋" w:eastAsia="仿宋" w:cs="仿宋"/>
          <w:b w:val="0"/>
          <w:bCs w:val="0"/>
          <w:color w:val="000000" w:themeColor="text1"/>
          <w:sz w:val="24"/>
          <w:szCs w:val="24"/>
          <w14:textFill>
            <w14:solidFill>
              <w14:schemeClr w14:val="tx1"/>
            </w14:solidFill>
          </w14:textFill>
        </w:rPr>
        <w:t>遵纪守法，自觉维护国家形象和学校名誉。</w:t>
      </w:r>
    </w:p>
    <w:p w14:paraId="4A44BEA0">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sz w:val="28"/>
          <w:szCs w:val="28"/>
        </w:rPr>
      </w:pPr>
    </w:p>
    <w:p w14:paraId="40C64C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六、报名与咨询</w:t>
      </w:r>
    </w:p>
    <w:p w14:paraId="40C64C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1.按学校要求填写校内报名表。</w:t>
      </w:r>
    </w:p>
    <w:p w14:paraId="40C64C07">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打开链接：</w:t>
      </w:r>
      <w:r>
        <w:rPr>
          <w:rFonts w:hint="eastAsia" w:ascii="仿宋" w:hAnsi="仿宋" w:eastAsia="仿宋" w:cs="仿宋"/>
          <w:b w:val="0"/>
          <w:bCs w:val="0"/>
          <w:color w:val="000000" w:themeColor="text1"/>
          <w:sz w:val="24"/>
          <w:szCs w:val="24"/>
          <w14:textFill>
            <w14:solidFill>
              <w14:schemeClr w14:val="tx1"/>
            </w14:solidFill>
          </w14:textFill>
        </w:rPr>
        <w:fldChar w:fldCharType="begin"/>
      </w:r>
      <w:r>
        <w:rPr>
          <w:rFonts w:hint="eastAsia" w:ascii="仿宋" w:hAnsi="仿宋" w:eastAsia="仿宋" w:cs="仿宋"/>
          <w:b w:val="0"/>
          <w:bCs w:val="0"/>
          <w:color w:val="000000" w:themeColor="text1"/>
          <w:sz w:val="24"/>
          <w:szCs w:val="24"/>
          <w14:textFill>
            <w14:solidFill>
              <w14:schemeClr w14:val="tx1"/>
            </w14:solidFill>
          </w14:textFill>
        </w:rPr>
        <w:instrText xml:space="preserve"> HYPERLINK "https://jsj.top/f/nT9dIU" </w:instrText>
      </w:r>
      <w:r>
        <w:rPr>
          <w:rFonts w:hint="eastAsia" w:ascii="仿宋" w:hAnsi="仿宋" w:eastAsia="仿宋" w:cs="仿宋"/>
          <w:b w:val="0"/>
          <w:bCs w:val="0"/>
          <w:color w:val="000000" w:themeColor="text1"/>
          <w:sz w:val="24"/>
          <w:szCs w:val="24"/>
          <w14:textFill>
            <w14:solidFill>
              <w14:schemeClr w14:val="tx1"/>
            </w14:solidFill>
          </w14:textFill>
        </w:rPr>
        <w:fldChar w:fldCharType="separate"/>
      </w:r>
      <w:r>
        <w:rPr>
          <w:rStyle w:val="15"/>
          <w:rFonts w:hint="eastAsia" w:ascii="仿宋" w:hAnsi="仿宋" w:eastAsia="仿宋" w:cs="仿宋"/>
          <w:b w:val="0"/>
          <w:bCs w:val="0"/>
          <w:sz w:val="24"/>
          <w:szCs w:val="24"/>
        </w:rPr>
        <w:t>https://jsj.top/f/nT9dIU</w:t>
      </w:r>
      <w:r>
        <w:rPr>
          <w:rFonts w:hint="eastAsia" w:ascii="仿宋" w:hAnsi="仿宋" w:eastAsia="仿宋" w:cs="仿宋"/>
          <w:b w:val="0"/>
          <w:bCs w:val="0"/>
          <w:color w:val="000000" w:themeColor="text1"/>
          <w:sz w:val="24"/>
          <w:szCs w:val="24"/>
          <w14:textFill>
            <w14:solidFill>
              <w14:schemeClr w14:val="tx1"/>
            </w14:solidFill>
          </w14:textFill>
        </w:rPr>
        <w:fldChar w:fldCharType="end"/>
      </w:r>
      <w:r>
        <w:rPr>
          <w:rFonts w:hint="eastAsia" w:ascii="仿宋" w:hAnsi="仿宋" w:eastAsia="仿宋" w:cs="仿宋"/>
          <w:b w:val="0"/>
          <w:bCs w:val="0"/>
          <w:color w:val="000000" w:themeColor="text1"/>
          <w:sz w:val="24"/>
          <w:szCs w:val="24"/>
          <w14:textFill>
            <w14:solidFill>
              <w14:schemeClr w14:val="tx1"/>
            </w14:solidFill>
          </w14:textFill>
        </w:rPr>
        <w:t>，填写项目主办方报名表。</w:t>
      </w:r>
    </w:p>
    <w:p w14:paraId="40C64C0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面试链接：</w:t>
      </w:r>
      <w:r>
        <w:rPr>
          <w:rFonts w:hint="eastAsia" w:ascii="仿宋" w:hAnsi="仿宋" w:eastAsia="仿宋" w:cs="仿宋"/>
          <w:b w:val="0"/>
          <w:bCs w:val="0"/>
          <w:color w:val="000000" w:themeColor="text1"/>
          <w:sz w:val="24"/>
          <w:szCs w:val="24"/>
          <w14:textFill>
            <w14:solidFill>
              <w14:schemeClr w14:val="tx1"/>
            </w14:solidFill>
          </w14:textFill>
        </w:rPr>
        <w:fldChar w:fldCharType="begin"/>
      </w:r>
      <w:r>
        <w:rPr>
          <w:rFonts w:hint="eastAsia" w:ascii="仿宋" w:hAnsi="仿宋" w:eastAsia="仿宋" w:cs="仿宋"/>
          <w:b w:val="0"/>
          <w:bCs w:val="0"/>
          <w:color w:val="000000" w:themeColor="text1"/>
          <w:sz w:val="24"/>
          <w:szCs w:val="24"/>
          <w14:textFill>
            <w14:solidFill>
              <w14:schemeClr w14:val="tx1"/>
            </w14:solidFill>
          </w14:textFill>
        </w:rPr>
        <w:instrText xml:space="preserve"> HYPERLINK "https://jsj.top/f/lw5gOj" </w:instrText>
      </w:r>
      <w:r>
        <w:rPr>
          <w:rFonts w:hint="eastAsia" w:ascii="仿宋" w:hAnsi="仿宋" w:eastAsia="仿宋" w:cs="仿宋"/>
          <w:b w:val="0"/>
          <w:bCs w:val="0"/>
          <w:color w:val="000000" w:themeColor="text1"/>
          <w:sz w:val="24"/>
          <w:szCs w:val="24"/>
          <w14:textFill>
            <w14:solidFill>
              <w14:schemeClr w14:val="tx1"/>
            </w14:solidFill>
          </w14:textFill>
        </w:rPr>
        <w:fldChar w:fldCharType="separate"/>
      </w:r>
      <w:r>
        <w:rPr>
          <w:rStyle w:val="16"/>
          <w:rFonts w:hint="eastAsia" w:ascii="仿宋" w:hAnsi="仿宋" w:eastAsia="仿宋" w:cs="仿宋"/>
          <w:b w:val="0"/>
          <w:bCs w:val="0"/>
          <w:sz w:val="24"/>
          <w:szCs w:val="24"/>
        </w:rPr>
        <w:t>https://jsj.top/f/lw5gOj</w:t>
      </w:r>
      <w:r>
        <w:rPr>
          <w:rFonts w:hint="eastAsia" w:ascii="仿宋" w:hAnsi="仿宋" w:eastAsia="仿宋" w:cs="仿宋"/>
          <w:b w:val="0"/>
          <w:bCs w:val="0"/>
          <w:color w:val="000000" w:themeColor="text1"/>
          <w:sz w:val="24"/>
          <w:szCs w:val="24"/>
          <w14:textFill>
            <w14:solidFill>
              <w14:schemeClr w14:val="tx1"/>
            </w14:solidFill>
          </w14:textFill>
        </w:rPr>
        <w:fldChar w:fldCharType="end"/>
      </w:r>
      <w:r>
        <w:rPr>
          <w:rFonts w:hint="eastAsia" w:ascii="仿宋" w:hAnsi="仿宋" w:eastAsia="仿宋" w:cs="仿宋"/>
          <w:b w:val="0"/>
          <w:bCs w:val="0"/>
          <w:color w:val="000000" w:themeColor="text1"/>
          <w:sz w:val="24"/>
          <w:szCs w:val="24"/>
          <w14:textFill>
            <w14:solidFill>
              <w14:schemeClr w14:val="tx1"/>
            </w14:solidFill>
          </w14:textFill>
        </w:rPr>
        <w:t>，所有报名项目的学生都要预约参加线上面试。</w:t>
      </w:r>
    </w:p>
    <w:p w14:paraId="40C64C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shd w:val="clear" w:fill="FFFF00"/>
          <w14:textFill>
            <w14:solidFill>
              <w14:schemeClr w14:val="tx1"/>
            </w14:solidFill>
          </w14:textFill>
        </w:rPr>
        <w:t>报名截止时间：202</w:t>
      </w:r>
      <w:r>
        <w:rPr>
          <w:rFonts w:hint="eastAsia" w:ascii="仿宋" w:hAnsi="仿宋" w:eastAsia="仿宋" w:cs="仿宋"/>
          <w:b w:val="0"/>
          <w:bCs w:val="0"/>
          <w:color w:val="000000" w:themeColor="text1"/>
          <w:sz w:val="24"/>
          <w:szCs w:val="24"/>
          <w:shd w:val="clear" w:fill="FFFF00"/>
          <w:lang w:val="en-US" w:eastAsia="zh-CN"/>
          <w14:textFill>
            <w14:solidFill>
              <w14:schemeClr w14:val="tx1"/>
            </w14:solidFill>
          </w14:textFill>
        </w:rPr>
        <w:t>6</w:t>
      </w:r>
      <w:r>
        <w:rPr>
          <w:rFonts w:hint="eastAsia" w:ascii="仿宋" w:hAnsi="仿宋" w:eastAsia="仿宋" w:cs="仿宋"/>
          <w:b w:val="0"/>
          <w:bCs w:val="0"/>
          <w:color w:val="000000" w:themeColor="text1"/>
          <w:sz w:val="24"/>
          <w:szCs w:val="24"/>
          <w:shd w:val="clear" w:fill="FFFF00"/>
          <w14:textFill>
            <w14:solidFill>
              <w14:schemeClr w14:val="tx1"/>
            </w14:solidFill>
          </w14:textFill>
        </w:rPr>
        <w:t>年</w:t>
      </w:r>
      <w:r>
        <w:rPr>
          <w:rFonts w:hint="eastAsia" w:ascii="仿宋" w:hAnsi="仿宋" w:eastAsia="仿宋" w:cs="仿宋"/>
          <w:b w:val="0"/>
          <w:bCs w:val="0"/>
          <w:color w:val="000000" w:themeColor="text1"/>
          <w:sz w:val="24"/>
          <w:szCs w:val="24"/>
          <w:shd w:val="clear" w:fill="FFFF00"/>
          <w:lang w:val="en-US" w:eastAsia="zh-CN"/>
          <w14:textFill>
            <w14:solidFill>
              <w14:schemeClr w14:val="tx1"/>
            </w14:solidFill>
          </w14:textFill>
        </w:rPr>
        <w:t>5月30</w:t>
      </w:r>
      <w:r>
        <w:rPr>
          <w:rFonts w:hint="eastAsia" w:ascii="仿宋" w:hAnsi="仿宋" w:eastAsia="仿宋" w:cs="仿宋"/>
          <w:b w:val="0"/>
          <w:bCs w:val="0"/>
          <w:color w:val="000000" w:themeColor="text1"/>
          <w:sz w:val="24"/>
          <w:szCs w:val="24"/>
          <w:shd w:val="clear" w:fill="FFFF00"/>
          <w14:textFill>
            <w14:solidFill>
              <w14:schemeClr w14:val="tx1"/>
            </w14:solidFill>
          </w14:textFill>
        </w:rPr>
        <w:t>日</w:t>
      </w:r>
    </w:p>
    <w:p w14:paraId="40C64C0C">
      <w:pPr>
        <w:keepNext w:val="0"/>
        <w:keepLines w:val="0"/>
        <w:pageBreakBefore w:val="0"/>
        <w:widowControl w:val="0"/>
        <w:shd w:val="clear" w:fill="FFFF0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合作院校相关部门联系方式：</w:t>
      </w:r>
    </w:p>
    <w:p w14:paraId="55DB8D61">
      <w:pPr>
        <w:keepNext w:val="0"/>
        <w:keepLines w:val="0"/>
        <w:pageBreakBefore w:val="0"/>
        <w:widowControl w:val="0"/>
        <w:shd w:val="clear" w:fill="FFFF00"/>
        <w:kinsoku/>
        <w:wordWrap/>
        <w:overflowPunct/>
        <w:topLinePunct w:val="0"/>
        <w:autoSpaceDE/>
        <w:autoSpaceDN/>
        <w:bidi w:val="0"/>
        <w:adjustRightInd/>
        <w:snapToGrid/>
        <w:spacing w:line="360" w:lineRule="auto"/>
        <w:textAlignment w:val="auto"/>
        <w:rPr>
          <w:rFonts w:hint="default"/>
          <w:lang w:val="en-US" w:eastAsia="zh-CN"/>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项目老师</w:t>
      </w:r>
      <w:r>
        <w:rPr>
          <w:rFonts w:hint="eastAsia" w:ascii="仿宋" w:hAnsi="仿宋" w:eastAsia="仿宋" w:cs="仿宋"/>
          <w:b w:val="0"/>
          <w:bCs w:val="0"/>
          <w:color w:val="000000" w:themeColor="text1"/>
          <w:sz w:val="24"/>
          <w:szCs w:val="24"/>
          <w14:textFill>
            <w14:solidFill>
              <w14:schemeClr w14:val="tx1"/>
            </w14:solidFill>
          </w14:textFill>
        </w:rPr>
        <w:t>咨询手机/微信</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Hetty老师）</w:t>
      </w:r>
      <w:r>
        <w:rPr>
          <w:rFonts w:hint="eastAsia" w:ascii="仿宋" w:hAnsi="仿宋" w:eastAsia="仿宋" w:cs="仿宋"/>
          <w:b w:val="0"/>
          <w:bCs w:val="0"/>
          <w:color w:val="000000" w:themeColor="text1"/>
          <w:sz w:val="24"/>
          <w:szCs w:val="24"/>
          <w14:textFill>
            <w14:solidFill>
              <w14:schemeClr w14:val="tx1"/>
            </w14:solidFill>
          </w14:textFill>
        </w:rPr>
        <w:t>：</w:t>
      </w:r>
      <w:r>
        <w:rPr>
          <w:rFonts w:ascii="宋体" w:hAnsi="宋体" w:eastAsia="宋体" w:cs="宋体"/>
          <w:sz w:val="24"/>
          <w:szCs w:val="24"/>
        </w:rPr>
        <w:t>1</w:t>
      </w:r>
      <w:r>
        <w:rPr>
          <w:rFonts w:hint="eastAsia" w:ascii="宋体" w:hAnsi="宋体" w:eastAsia="宋体" w:cs="宋体"/>
          <w:sz w:val="24"/>
          <w:szCs w:val="24"/>
          <w:lang w:val="en-US" w:eastAsia="zh-CN"/>
        </w:rPr>
        <w:t>3189095239</w:t>
      </w:r>
    </w:p>
    <w:p w14:paraId="6FAAD5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访学项目部电话：020-82002936</w:t>
      </w:r>
    </w:p>
    <w:p w14:paraId="40C64C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fldChar w:fldCharType="begin"/>
      </w:r>
      <w:r>
        <w:rPr>
          <w:rFonts w:hint="eastAsia" w:ascii="仿宋" w:hAnsi="仿宋" w:eastAsia="仿宋" w:cs="仿宋"/>
          <w:b w:val="0"/>
          <w:bCs w:val="0"/>
          <w:color w:val="000000" w:themeColor="text1"/>
          <w:sz w:val="24"/>
          <w:szCs w:val="24"/>
          <w14:textFill>
            <w14:solidFill>
              <w14:schemeClr w14:val="tx1"/>
            </w14:solidFill>
          </w14:textFill>
        </w:rPr>
        <w:instrText xml:space="preserve"> HYPERLINK "https://book.yunzhan365.com/hobdw/afws/mobile/index.html" </w:instrText>
      </w:r>
      <w:r>
        <w:rPr>
          <w:rFonts w:hint="eastAsia" w:ascii="仿宋" w:hAnsi="仿宋" w:eastAsia="仿宋" w:cs="仿宋"/>
          <w:b w:val="0"/>
          <w:bCs w:val="0"/>
          <w:color w:val="000000" w:themeColor="text1"/>
          <w:sz w:val="24"/>
          <w:szCs w:val="24"/>
          <w14:textFill>
            <w14:solidFill>
              <w14:schemeClr w14:val="tx1"/>
            </w14:solidFill>
          </w14:textFill>
        </w:rPr>
        <w:fldChar w:fldCharType="separate"/>
      </w:r>
      <w:r>
        <w:rPr>
          <w:rFonts w:hint="eastAsia" w:ascii="仿宋" w:hAnsi="仿宋" w:eastAsia="仿宋" w:cs="仿宋"/>
          <w:b w:val="0"/>
          <w:bCs w:val="0"/>
          <w:color w:val="000000" w:themeColor="text1"/>
          <w:sz w:val="24"/>
          <w:szCs w:val="24"/>
          <w14:textFill>
            <w14:solidFill>
              <w14:schemeClr w14:val="tx1"/>
            </w14:solidFill>
          </w14:textFill>
        </w:rPr>
        <w:t>附件—2026年暑期澳大利亚悉尼</w:t>
      </w:r>
      <w:bookmarkStart w:id="2" w:name="_GoBack"/>
      <w:bookmarkEnd w:id="2"/>
      <w:r>
        <w:rPr>
          <w:rFonts w:hint="eastAsia" w:ascii="仿宋" w:hAnsi="仿宋" w:eastAsia="仿宋" w:cs="仿宋"/>
          <w:b w:val="0"/>
          <w:bCs w:val="0"/>
          <w:color w:val="000000" w:themeColor="text1"/>
          <w:sz w:val="24"/>
          <w:szCs w:val="24"/>
          <w14:textFill>
            <w14:solidFill>
              <w14:schemeClr w14:val="tx1"/>
            </w14:solidFill>
          </w14:textFill>
        </w:rPr>
        <w:t>大学力学前沿与科研</w:t>
      </w:r>
      <w:r>
        <w:rPr>
          <w:rFonts w:hint="eastAsia" w:ascii="仿宋" w:hAnsi="仿宋" w:eastAsia="仿宋" w:cs="仿宋"/>
          <w:b w:val="0"/>
          <w:bCs w:val="0"/>
          <w:color w:val="000000" w:themeColor="text1"/>
          <w:sz w:val="24"/>
          <w:szCs w:val="24"/>
          <w:lang w:val="en-US" w:eastAsia="zh-CN"/>
          <w14:textFill>
            <w14:solidFill>
              <w14:schemeClr w14:val="tx1"/>
            </w14:solidFill>
          </w14:textFill>
        </w:rPr>
        <w:t>训练</w:t>
      </w:r>
      <w:r>
        <w:rPr>
          <w:rFonts w:hint="eastAsia" w:ascii="仿宋" w:hAnsi="仿宋" w:eastAsia="仿宋" w:cs="仿宋"/>
          <w:b w:val="0"/>
          <w:bCs w:val="0"/>
          <w:color w:val="000000" w:themeColor="text1"/>
          <w:sz w:val="24"/>
          <w:szCs w:val="24"/>
          <w14:textFill>
            <w14:solidFill>
              <w14:schemeClr w14:val="tx1"/>
            </w14:solidFill>
          </w14:textFill>
        </w:rPr>
        <w:t>主题访学项目</w:t>
      </w:r>
    </w:p>
    <w:p w14:paraId="0D9ABC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fldChar w:fldCharType="end"/>
      </w:r>
      <w:r>
        <w:rPr>
          <w:rFonts w:hint="eastAsia" w:ascii="仿宋" w:hAnsi="仿宋" w:eastAsia="仿宋" w:cs="仿宋"/>
          <w:b w:val="0"/>
          <w:bCs w:val="0"/>
          <w:color w:val="000000" w:themeColor="text1"/>
          <w:sz w:val="24"/>
          <w:szCs w:val="24"/>
          <w:lang w:val="en-US" w:eastAsia="zh-CN"/>
          <w14:textFill>
            <w14:solidFill>
              <w14:schemeClr w14:val="tx1"/>
            </w14:solidFill>
          </w14:textFill>
        </w:rPr>
        <w:t>点击链接或扫描二维码查看附件：</w:t>
      </w:r>
    </w:p>
    <w:p w14:paraId="7933F76C">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"https://book.yunzhan365.com/uvrft/jvjw/mobile/index.html" </w:instrText>
      </w:r>
      <w:r>
        <w:rPr>
          <w:rFonts w:hint="default" w:ascii="Times New Roman" w:hAnsi="Times New Roman" w:cs="Times New Roman"/>
          <w:sz w:val="24"/>
          <w:szCs w:val="24"/>
          <w:lang w:val="en-US" w:eastAsia="zh-CN"/>
        </w:rPr>
        <w:fldChar w:fldCharType="separate"/>
      </w:r>
      <w:r>
        <w:rPr>
          <w:rStyle w:val="15"/>
          <w:rFonts w:hint="default" w:ascii="Times New Roman" w:hAnsi="Times New Roman" w:cs="Times New Roman"/>
          <w:sz w:val="24"/>
          <w:szCs w:val="24"/>
          <w:lang w:val="en-US" w:eastAsia="zh-CN"/>
        </w:rPr>
        <w:t>https://book.yunzhan365.com/uvrft/jvjw/mobile/index.html</w:t>
      </w:r>
      <w:r>
        <w:rPr>
          <w:rFonts w:hint="default" w:ascii="Times New Roman" w:hAnsi="Times New Roman" w:cs="Times New Roman"/>
          <w:sz w:val="24"/>
          <w:szCs w:val="24"/>
          <w:lang w:val="en-US" w:eastAsia="zh-CN"/>
        </w:rPr>
        <w:fldChar w:fldCharType="end"/>
      </w:r>
    </w:p>
    <w:p w14:paraId="0D630B16">
      <w:pPr>
        <w:pStyle w:val="2"/>
        <w:ind w:left="0" w:leftChars="0" w:firstLine="0" w:firstLineChars="0"/>
        <w:rPr>
          <w:rFonts w:hint="eastAsia"/>
          <w:lang w:val="en-US" w:eastAsia="zh-CN"/>
        </w:rPr>
      </w:pPr>
      <w:r>
        <w:rPr>
          <w:rFonts w:hint="eastAsia"/>
          <w:lang w:val="en-US" w:eastAsia="zh-CN"/>
        </w:rPr>
        <w:drawing>
          <wp:inline distT="0" distB="0" distL="114300" distR="114300">
            <wp:extent cx="1590040" cy="1590040"/>
            <wp:effectExtent l="0" t="0" r="10160" b="10160"/>
            <wp:docPr id="1" name="图片 1" descr="悉尼工程力学项目-链接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悉尼工程力学项目-链接二维码"/>
                    <pic:cNvPicPr>
                      <a:picLocks noChangeAspect="1"/>
                    </pic:cNvPicPr>
                  </pic:nvPicPr>
                  <pic:blipFill>
                    <a:blip r:embed="rId4"/>
                    <a:stretch>
                      <a:fillRect/>
                    </a:stretch>
                  </pic:blipFill>
                  <pic:spPr>
                    <a:xfrm>
                      <a:off x="0" y="0"/>
                      <a:ext cx="1590040" cy="1590040"/>
                    </a:xfrm>
                    <a:prstGeom prst="rect">
                      <a:avLst/>
                    </a:prstGeom>
                  </pic:spPr>
                </pic:pic>
              </a:graphicData>
            </a:graphic>
          </wp:inline>
        </w:drawing>
      </w:r>
    </w:p>
    <w:p w14:paraId="5829B582">
      <w:pPr>
        <w:pStyle w:val="2"/>
        <w:rPr>
          <w:rFonts w:hint="eastAsia"/>
          <w:lang w:val="en-US" w:eastAsia="zh-CN"/>
        </w:rPr>
      </w:pPr>
    </w:p>
    <w:p w14:paraId="24EB3F8B">
      <w:pPr>
        <w:rPr>
          <w:rFonts w:hint="eastAsia" w:ascii="仿宋" w:hAnsi="仿宋" w:eastAsia="仿宋" w:cs="仿宋"/>
          <w:b/>
          <w:bCs/>
          <w:sz w:val="24"/>
          <w:szCs w:val="24"/>
          <w:lang w:eastAsia="zh-CN"/>
        </w:rPr>
      </w:pPr>
    </w:p>
    <w:p w14:paraId="135055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870F5"/>
    <w:multiLevelType w:val="singleLevel"/>
    <w:tmpl w:val="DAC870F5"/>
    <w:lvl w:ilvl="0" w:tentative="0">
      <w:start w:val="1"/>
      <w:numFmt w:val="decimal"/>
      <w:lvlText w:val="(%1)"/>
      <w:lvlJc w:val="left"/>
      <w:pPr>
        <w:ind w:left="425" w:hanging="425"/>
      </w:pPr>
      <w:rPr>
        <w:rFonts w:hint="default"/>
        <w:b/>
        <w:bCs/>
      </w:rPr>
    </w:lvl>
  </w:abstractNum>
  <w:abstractNum w:abstractNumId="1">
    <w:nsid w:val="EEEFD8C0"/>
    <w:multiLevelType w:val="singleLevel"/>
    <w:tmpl w:val="EEEFD8C0"/>
    <w:lvl w:ilvl="0" w:tentative="0">
      <w:start w:val="2"/>
      <w:numFmt w:val="decimal"/>
      <w:lvlText w:val="%1."/>
      <w:lvlJc w:val="left"/>
      <w:pPr>
        <w:tabs>
          <w:tab w:val="left" w:pos="312"/>
        </w:tabs>
      </w:pPr>
    </w:lvl>
  </w:abstractNum>
  <w:abstractNum w:abstractNumId="2">
    <w:nsid w:val="F2705967"/>
    <w:multiLevelType w:val="singleLevel"/>
    <w:tmpl w:val="F2705967"/>
    <w:lvl w:ilvl="0" w:tentative="0">
      <w:start w:val="3"/>
      <w:numFmt w:val="decimal"/>
      <w:suff w:val="space"/>
      <w:lvlText w:val="%1."/>
      <w:lvlJc w:val="left"/>
    </w:lvl>
  </w:abstractNum>
  <w:abstractNum w:abstractNumId="3">
    <w:nsid w:val="781C4441"/>
    <w:multiLevelType w:val="singleLevel"/>
    <w:tmpl w:val="781C4441"/>
    <w:lvl w:ilvl="0" w:tentative="0">
      <w:start w:val="1"/>
      <w:numFmt w:val="decimal"/>
      <w:lvlText w:val="(%1)"/>
      <w:lvlJc w:val="left"/>
      <w:pPr>
        <w:ind w:left="425" w:hanging="425"/>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7829EA"/>
    <w:rsid w:val="00485223"/>
    <w:rsid w:val="00742040"/>
    <w:rsid w:val="00D0581B"/>
    <w:rsid w:val="0137184F"/>
    <w:rsid w:val="03D42E2E"/>
    <w:rsid w:val="040000C7"/>
    <w:rsid w:val="041C0406"/>
    <w:rsid w:val="04DF2BB8"/>
    <w:rsid w:val="04FE63B4"/>
    <w:rsid w:val="05863502"/>
    <w:rsid w:val="05873604"/>
    <w:rsid w:val="058D14E6"/>
    <w:rsid w:val="06872F1A"/>
    <w:rsid w:val="06B17C96"/>
    <w:rsid w:val="06F3462A"/>
    <w:rsid w:val="070D64A5"/>
    <w:rsid w:val="074E5BB3"/>
    <w:rsid w:val="07A174CB"/>
    <w:rsid w:val="08760957"/>
    <w:rsid w:val="08A60005"/>
    <w:rsid w:val="0A374116"/>
    <w:rsid w:val="0A9D7E4E"/>
    <w:rsid w:val="0AAC603C"/>
    <w:rsid w:val="0AE4604C"/>
    <w:rsid w:val="0B666A61"/>
    <w:rsid w:val="0BBC0D77"/>
    <w:rsid w:val="0C536D2F"/>
    <w:rsid w:val="0D5E30A2"/>
    <w:rsid w:val="0D7731A8"/>
    <w:rsid w:val="0D8D2417"/>
    <w:rsid w:val="0E205904"/>
    <w:rsid w:val="0E8559ED"/>
    <w:rsid w:val="0FF61E7A"/>
    <w:rsid w:val="10E36DA6"/>
    <w:rsid w:val="11812847"/>
    <w:rsid w:val="11BC6D80"/>
    <w:rsid w:val="11D763E1"/>
    <w:rsid w:val="13537B95"/>
    <w:rsid w:val="13AA7707"/>
    <w:rsid w:val="13BE3B38"/>
    <w:rsid w:val="13C702B9"/>
    <w:rsid w:val="14107EB2"/>
    <w:rsid w:val="144808AD"/>
    <w:rsid w:val="14553B17"/>
    <w:rsid w:val="1486186E"/>
    <w:rsid w:val="14DD5A7A"/>
    <w:rsid w:val="155B515D"/>
    <w:rsid w:val="15D46F3B"/>
    <w:rsid w:val="162C3563"/>
    <w:rsid w:val="16337E88"/>
    <w:rsid w:val="165878EE"/>
    <w:rsid w:val="166C5148"/>
    <w:rsid w:val="170A6E3A"/>
    <w:rsid w:val="17CB1D44"/>
    <w:rsid w:val="181D3E72"/>
    <w:rsid w:val="18544E28"/>
    <w:rsid w:val="1890336F"/>
    <w:rsid w:val="19025C20"/>
    <w:rsid w:val="192166BD"/>
    <w:rsid w:val="19596522"/>
    <w:rsid w:val="19DE765A"/>
    <w:rsid w:val="1A177C84"/>
    <w:rsid w:val="1B155291"/>
    <w:rsid w:val="1B770817"/>
    <w:rsid w:val="1B9D3974"/>
    <w:rsid w:val="1C4F2417"/>
    <w:rsid w:val="1CE86275"/>
    <w:rsid w:val="1D116EB2"/>
    <w:rsid w:val="1D230C56"/>
    <w:rsid w:val="1D2E13A9"/>
    <w:rsid w:val="1D796AC8"/>
    <w:rsid w:val="1DF655C9"/>
    <w:rsid w:val="1E591960"/>
    <w:rsid w:val="1ED712B7"/>
    <w:rsid w:val="1F0547AA"/>
    <w:rsid w:val="1F680280"/>
    <w:rsid w:val="1FEB5131"/>
    <w:rsid w:val="1FF02946"/>
    <w:rsid w:val="204B26A4"/>
    <w:rsid w:val="206326AF"/>
    <w:rsid w:val="21380A48"/>
    <w:rsid w:val="219C2D85"/>
    <w:rsid w:val="21A34113"/>
    <w:rsid w:val="21E906B6"/>
    <w:rsid w:val="220A4192"/>
    <w:rsid w:val="221E19EC"/>
    <w:rsid w:val="23BA3996"/>
    <w:rsid w:val="23CB2115"/>
    <w:rsid w:val="24594095"/>
    <w:rsid w:val="24701BFE"/>
    <w:rsid w:val="24C820E3"/>
    <w:rsid w:val="24D665AE"/>
    <w:rsid w:val="2516749D"/>
    <w:rsid w:val="252437BD"/>
    <w:rsid w:val="25375D95"/>
    <w:rsid w:val="2560231B"/>
    <w:rsid w:val="259326F1"/>
    <w:rsid w:val="25BF34E6"/>
    <w:rsid w:val="25CC1B2E"/>
    <w:rsid w:val="277829EA"/>
    <w:rsid w:val="277F4CDB"/>
    <w:rsid w:val="27A44741"/>
    <w:rsid w:val="27CA3844"/>
    <w:rsid w:val="280478D6"/>
    <w:rsid w:val="28075C89"/>
    <w:rsid w:val="282910EA"/>
    <w:rsid w:val="289626E0"/>
    <w:rsid w:val="289B3D96"/>
    <w:rsid w:val="28B54FA9"/>
    <w:rsid w:val="296F3EFA"/>
    <w:rsid w:val="299B7DC6"/>
    <w:rsid w:val="2A572EBE"/>
    <w:rsid w:val="2B0438EE"/>
    <w:rsid w:val="2BFA7F7C"/>
    <w:rsid w:val="2C077995"/>
    <w:rsid w:val="2C40012A"/>
    <w:rsid w:val="2C8114F5"/>
    <w:rsid w:val="2D0619FA"/>
    <w:rsid w:val="2D8E02C6"/>
    <w:rsid w:val="2E250C33"/>
    <w:rsid w:val="2E954DE4"/>
    <w:rsid w:val="2EEE7155"/>
    <w:rsid w:val="2FB73743"/>
    <w:rsid w:val="3067778A"/>
    <w:rsid w:val="3078676B"/>
    <w:rsid w:val="313C1E8F"/>
    <w:rsid w:val="315115A8"/>
    <w:rsid w:val="31B14FB7"/>
    <w:rsid w:val="31BB2DB3"/>
    <w:rsid w:val="326D50F6"/>
    <w:rsid w:val="32B85545"/>
    <w:rsid w:val="32DA54BB"/>
    <w:rsid w:val="3371682A"/>
    <w:rsid w:val="338C52F5"/>
    <w:rsid w:val="3451519C"/>
    <w:rsid w:val="350C1B78"/>
    <w:rsid w:val="350C7DCA"/>
    <w:rsid w:val="351A3EFE"/>
    <w:rsid w:val="3555351F"/>
    <w:rsid w:val="355E6A9D"/>
    <w:rsid w:val="35BE2E72"/>
    <w:rsid w:val="35DD0598"/>
    <w:rsid w:val="367D36E8"/>
    <w:rsid w:val="367E6622"/>
    <w:rsid w:val="36D54201"/>
    <w:rsid w:val="374157BF"/>
    <w:rsid w:val="375D2B5F"/>
    <w:rsid w:val="376C65A7"/>
    <w:rsid w:val="379A346B"/>
    <w:rsid w:val="38726196"/>
    <w:rsid w:val="39243934"/>
    <w:rsid w:val="39DB4725"/>
    <w:rsid w:val="3A2B0CF2"/>
    <w:rsid w:val="3A436896"/>
    <w:rsid w:val="3BA64AD4"/>
    <w:rsid w:val="3BC9431F"/>
    <w:rsid w:val="3C3B6FA3"/>
    <w:rsid w:val="3C574020"/>
    <w:rsid w:val="3C6329C5"/>
    <w:rsid w:val="3C990321"/>
    <w:rsid w:val="3CC82828"/>
    <w:rsid w:val="3E4B3711"/>
    <w:rsid w:val="3EC6723B"/>
    <w:rsid w:val="3F800417"/>
    <w:rsid w:val="3FEC4A80"/>
    <w:rsid w:val="40286ADA"/>
    <w:rsid w:val="404C551E"/>
    <w:rsid w:val="405F34A4"/>
    <w:rsid w:val="407C22A8"/>
    <w:rsid w:val="40D21EC7"/>
    <w:rsid w:val="416C40CA"/>
    <w:rsid w:val="41C254E2"/>
    <w:rsid w:val="41E33C60"/>
    <w:rsid w:val="41FE08B2"/>
    <w:rsid w:val="42C24FD0"/>
    <w:rsid w:val="42F5314F"/>
    <w:rsid w:val="43496898"/>
    <w:rsid w:val="4357049D"/>
    <w:rsid w:val="43BC29BB"/>
    <w:rsid w:val="43D40502"/>
    <w:rsid w:val="43FB1735"/>
    <w:rsid w:val="456D0411"/>
    <w:rsid w:val="45877724"/>
    <w:rsid w:val="45F66658"/>
    <w:rsid w:val="464D3DAC"/>
    <w:rsid w:val="472D0CA5"/>
    <w:rsid w:val="47811F51"/>
    <w:rsid w:val="47C307BC"/>
    <w:rsid w:val="48210C25"/>
    <w:rsid w:val="48541414"/>
    <w:rsid w:val="48565574"/>
    <w:rsid w:val="48E128AF"/>
    <w:rsid w:val="49096D51"/>
    <w:rsid w:val="492B486B"/>
    <w:rsid w:val="493C6A42"/>
    <w:rsid w:val="4AA25651"/>
    <w:rsid w:val="4B563309"/>
    <w:rsid w:val="4BF7788F"/>
    <w:rsid w:val="4BFE04DA"/>
    <w:rsid w:val="4C005512"/>
    <w:rsid w:val="4C012894"/>
    <w:rsid w:val="4C160075"/>
    <w:rsid w:val="4C1D24EE"/>
    <w:rsid w:val="4C9D68FA"/>
    <w:rsid w:val="4CC35BEB"/>
    <w:rsid w:val="4D661B97"/>
    <w:rsid w:val="4DAB40F0"/>
    <w:rsid w:val="4E797E26"/>
    <w:rsid w:val="4EA330F5"/>
    <w:rsid w:val="4EB31F52"/>
    <w:rsid w:val="4F3673B2"/>
    <w:rsid w:val="4F68751C"/>
    <w:rsid w:val="4FFE63A3"/>
    <w:rsid w:val="50221BC1"/>
    <w:rsid w:val="50D61560"/>
    <w:rsid w:val="515801C7"/>
    <w:rsid w:val="51A647D1"/>
    <w:rsid w:val="52FA36B8"/>
    <w:rsid w:val="53867868"/>
    <w:rsid w:val="545253A1"/>
    <w:rsid w:val="550F4678"/>
    <w:rsid w:val="55284354"/>
    <w:rsid w:val="55545149"/>
    <w:rsid w:val="56614179"/>
    <w:rsid w:val="570F3F6E"/>
    <w:rsid w:val="57306DBF"/>
    <w:rsid w:val="57631674"/>
    <w:rsid w:val="57A65510"/>
    <w:rsid w:val="57B3519B"/>
    <w:rsid w:val="57BC2B32"/>
    <w:rsid w:val="57FB7AFE"/>
    <w:rsid w:val="581A61D6"/>
    <w:rsid w:val="582E3A30"/>
    <w:rsid w:val="58331046"/>
    <w:rsid w:val="58ED4908"/>
    <w:rsid w:val="59883613"/>
    <w:rsid w:val="59A321FB"/>
    <w:rsid w:val="59CD7278"/>
    <w:rsid w:val="5A0C522A"/>
    <w:rsid w:val="5A6E45B7"/>
    <w:rsid w:val="5A850AC5"/>
    <w:rsid w:val="5A9B1124"/>
    <w:rsid w:val="5B1F3B03"/>
    <w:rsid w:val="5B4610A6"/>
    <w:rsid w:val="5B6F0312"/>
    <w:rsid w:val="5BA87F9D"/>
    <w:rsid w:val="5BC51551"/>
    <w:rsid w:val="5C2E2250"/>
    <w:rsid w:val="5C3714CD"/>
    <w:rsid w:val="5CAA1E4A"/>
    <w:rsid w:val="5D8F4F70"/>
    <w:rsid w:val="5E766130"/>
    <w:rsid w:val="5EC944B2"/>
    <w:rsid w:val="5EE906B0"/>
    <w:rsid w:val="5F6A1411"/>
    <w:rsid w:val="5F8430FE"/>
    <w:rsid w:val="5F8A1207"/>
    <w:rsid w:val="61E512A1"/>
    <w:rsid w:val="61ED2443"/>
    <w:rsid w:val="621C6FEF"/>
    <w:rsid w:val="623C143F"/>
    <w:rsid w:val="62E83418"/>
    <w:rsid w:val="63411174"/>
    <w:rsid w:val="63780255"/>
    <w:rsid w:val="645038A3"/>
    <w:rsid w:val="64CD6821"/>
    <w:rsid w:val="65C47781"/>
    <w:rsid w:val="65C77F02"/>
    <w:rsid w:val="6613133C"/>
    <w:rsid w:val="66C11F13"/>
    <w:rsid w:val="674768BC"/>
    <w:rsid w:val="675178F8"/>
    <w:rsid w:val="679E4EC0"/>
    <w:rsid w:val="688B0A2A"/>
    <w:rsid w:val="69066613"/>
    <w:rsid w:val="69643755"/>
    <w:rsid w:val="69FD3262"/>
    <w:rsid w:val="6AEB7BDB"/>
    <w:rsid w:val="6B0F149F"/>
    <w:rsid w:val="6B1B6095"/>
    <w:rsid w:val="6B52582F"/>
    <w:rsid w:val="6C315445"/>
    <w:rsid w:val="6C4258A4"/>
    <w:rsid w:val="6D3357EF"/>
    <w:rsid w:val="6D8B3C8A"/>
    <w:rsid w:val="6D955A12"/>
    <w:rsid w:val="6DA71E62"/>
    <w:rsid w:val="6DFF3A4C"/>
    <w:rsid w:val="6E01708B"/>
    <w:rsid w:val="6E69536A"/>
    <w:rsid w:val="6EC1007C"/>
    <w:rsid w:val="6F321C00"/>
    <w:rsid w:val="6FA56875"/>
    <w:rsid w:val="700F3CEF"/>
    <w:rsid w:val="70207CAA"/>
    <w:rsid w:val="703A16B1"/>
    <w:rsid w:val="703E57B3"/>
    <w:rsid w:val="71A843FB"/>
    <w:rsid w:val="71EF3DD8"/>
    <w:rsid w:val="72275320"/>
    <w:rsid w:val="72AA7CFF"/>
    <w:rsid w:val="72EA6696"/>
    <w:rsid w:val="738047E4"/>
    <w:rsid w:val="73861E89"/>
    <w:rsid w:val="739A5FC5"/>
    <w:rsid w:val="73FD6130"/>
    <w:rsid w:val="740C6EC3"/>
    <w:rsid w:val="740D49E9"/>
    <w:rsid w:val="751B4EE4"/>
    <w:rsid w:val="76E05F23"/>
    <w:rsid w:val="76FF6781"/>
    <w:rsid w:val="77187CA7"/>
    <w:rsid w:val="77877339"/>
    <w:rsid w:val="77C81353"/>
    <w:rsid w:val="77FC6C17"/>
    <w:rsid w:val="78034B6F"/>
    <w:rsid w:val="784F0E28"/>
    <w:rsid w:val="78507DD9"/>
    <w:rsid w:val="786F3B51"/>
    <w:rsid w:val="78D0243F"/>
    <w:rsid w:val="7973709D"/>
    <w:rsid w:val="7A251DC6"/>
    <w:rsid w:val="7B0501C8"/>
    <w:rsid w:val="7B2A7C2F"/>
    <w:rsid w:val="7B494559"/>
    <w:rsid w:val="7B837AF0"/>
    <w:rsid w:val="7BB74B3B"/>
    <w:rsid w:val="7BD83B2F"/>
    <w:rsid w:val="7C7750F6"/>
    <w:rsid w:val="7CEA1D6C"/>
    <w:rsid w:val="7D1C0D19"/>
    <w:rsid w:val="7D851902"/>
    <w:rsid w:val="7D9A2A39"/>
    <w:rsid w:val="7DA41F1A"/>
    <w:rsid w:val="7DB03E4D"/>
    <w:rsid w:val="7E5E656D"/>
    <w:rsid w:val="7ED00AED"/>
    <w:rsid w:val="7F310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next w:val="2"/>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FollowedHyperlink"/>
    <w:basedOn w:val="13"/>
    <w:qFormat/>
    <w:uiPriority w:val="0"/>
    <w:rPr>
      <w:color w:val="800080"/>
      <w:u w:val="single"/>
    </w:rPr>
  </w:style>
  <w:style w:type="character" w:styleId="16">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3101</Words>
  <Characters>3339</Characters>
  <Lines>0</Lines>
  <Paragraphs>0</Paragraphs>
  <TotalTime>133</TotalTime>
  <ScaleCrop>false</ScaleCrop>
  <LinksUpToDate>false</LinksUpToDate>
  <CharactersWithSpaces>3350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2025-12-22T03:14:00Z</dcterms:created>
  <dc:creator>RynChan$</dc:creator>
  <cp:lastModifiedBy>Rae</cp:lastModifiedBy>
  <dcterms:modified xsi:type="dcterms:W3CDTF">2026-04-30T00:28:28Z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615816DCBFA2407B9A40D06B33E6B777_13</vt:lpwstr>
  </property>
  <property fmtid="{D5CDD505-2E9C-101B-9397-08002B2CF9AE}" pid="4" name="KSOTemplateDocerSaveRecord">
    <vt:lpwstr>eyJoZGlkIjoiYWNjNmRiYjAxZDNhODhiZTUyNzM3OTc0ZGY3NTNjM2MiLCJ1c2VySWQiOiIxNjE0NTY5NjM4In0=</vt:lpwstr>
  </property>
</Properties>
</file>